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44"/>
        </w:rPr>
      </w:pPr>
      <w:bookmarkStart w:id="0" w:name="_GoBack"/>
      <w:r>
        <w:rPr>
          <w:rFonts w:ascii="华文中宋" w:hAnsi="华文中宋" w:eastAsia="华文中宋"/>
          <w:b/>
          <w:bCs/>
          <w:sz w:val="36"/>
          <w:szCs w:val="44"/>
        </w:rPr>
        <w:t>“</w:t>
      </w:r>
      <w:r>
        <w:rPr>
          <w:rFonts w:hint="eastAsia" w:ascii="宋体" w:hAnsi="宋体" w:eastAsia="宋体" w:cs="宋体"/>
          <w:b/>
          <w:bCs/>
          <w:kern w:val="44"/>
          <w:sz w:val="36"/>
          <w:szCs w:val="44"/>
        </w:rPr>
        <w:t>喜迎二十大 建功新时代</w:t>
      </w:r>
      <w:r>
        <w:rPr>
          <w:rFonts w:ascii="华文中宋" w:hAnsi="华文中宋" w:eastAsia="华文中宋"/>
          <w:b/>
          <w:bCs/>
          <w:sz w:val="36"/>
          <w:szCs w:val="44"/>
        </w:rPr>
        <w:t>”</w:t>
      </w:r>
    </w:p>
    <w:p>
      <w:pPr>
        <w:jc w:val="center"/>
        <w:rPr>
          <w:rFonts w:ascii="华文中宋" w:hAnsi="华文中宋" w:eastAsia="华文中宋"/>
          <w:sz w:val="36"/>
          <w:szCs w:val="44"/>
        </w:rPr>
      </w:pPr>
      <w:r>
        <w:rPr>
          <w:rFonts w:hint="eastAsia" w:ascii="华文中宋" w:hAnsi="华文中宋" w:eastAsia="华文中宋"/>
          <w:sz w:val="36"/>
          <w:szCs w:val="44"/>
        </w:rPr>
        <w:t>海淀职工“云诵读”活动评分标准</w:t>
      </w:r>
    </w:p>
    <w:bookmarkEnd w:id="0"/>
    <w:p>
      <w:pPr>
        <w:tabs>
          <w:tab w:val="left" w:pos="7740"/>
        </w:tabs>
        <w:spacing w:line="600" w:lineRule="exact"/>
        <w:jc w:val="center"/>
        <w:rPr>
          <w:rFonts w:ascii="华文中宋" w:hAnsi="华文中宋" w:eastAsia="华文中宋"/>
          <w:sz w:val="40"/>
          <w:szCs w:val="44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581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分值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主题鲜明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主题鲜明突出，内容积极向上，以习近平新时代中国特色社会主义思想为指导，具备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时代主题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，展现奋斗主题。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语言表达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普通话标准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吐字清楚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准确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语言生动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，语气、语调、声音、节奏富于变化，轻重缓急、抑扬顿挫切合诗歌朗诵的内容，能准确、恰当地表情达意，舒心悦耳，娓娓动听。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态势神情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15分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姿态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动作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手势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表情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眼神能准确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鲜明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自然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形象地表达朗诵内容和思想感情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渲染气氛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增强表达效果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朗诵效果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朗诵有感染力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声情并茂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朗诵富有韵味和表现力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能与观众产生共鸣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仪表形象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服饰大方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自然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整齐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，举止从容、端正。精神饱满，态度亲切。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时间要求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5分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时间为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5分钟内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原创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/形式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内容为原创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朗诵形式富有创意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配以适当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视频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或配乐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或其他富有创意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（如双人、四人、多人等）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的形式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。鼓励在职工书屋、职工之家等工会阵地录制视频。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总分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mViMDM2OTQ4OGY2ZGY0ODFhMzQ0ZmE4OTE1ZDQifQ=="/>
  </w:docVars>
  <w:rsids>
    <w:rsidRoot w:val="20FF11E5"/>
    <w:rsid w:val="2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2022-05-24T02:34:00Z</dcterms:created>
  <dc:creator>Mr.Liu</dc:creator>
  <cp:lastModifiedBy>Mr.Liu</cp:lastModifiedBy>
  <dcterms:modified xsi:type="dcterms:W3CDTF">2022-05-24T02:34:45Z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21479E1BB106471BA5C6DCB63F08BC71</vt:lpwstr>
  </property>
</Properties>
</file>